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陕西师范大学学院（中心）</w:t>
      </w:r>
      <w:r>
        <w:rPr>
          <w:rFonts w:hint="eastAsia" w:ascii="华文中宋" w:hAnsi="华文中宋" w:eastAsia="华文中宋"/>
          <w:sz w:val="36"/>
          <w:szCs w:val="36"/>
        </w:rPr>
        <w:t>综合管理与发展津贴分配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社会声誉与社会服务部分统计表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（基于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sz w:val="32"/>
          <w:szCs w:val="32"/>
        </w:rPr>
        <w:t>年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基础数据）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单位名称（公章）：              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4"/>
        </w:rPr>
        <w:t>填表时间：    年    月    日</w:t>
      </w:r>
    </w:p>
    <w:tbl>
      <w:tblPr>
        <w:tblStyle w:val="4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85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1.国家一级学会理事长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、会长（以“中国”“全国”“中华”冠名且在国家民政部注册的法人社团）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  <w:lang w:eastAsia="zh-CN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2.国家一级学会副理事长、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副会长、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秘书长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级学会理事长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、会长（国家一级学会内设专业学会）；省级学会理事长、会长（在省民政厅注册的法人社团）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级学会副理事长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、副会长、秘书长；省级学会副理事长、副会长、秘书长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.国务院学科评议组成员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.教育部科学技术/社会科学委员会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委员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.国家督学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.省科协、省社科联主席、副主席及省督学等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.国家自然/社会科学基金评审组成员、全国教育/艺术科学规划评审组成员等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.教育部教学指导委员会、国家基础教育课程教材专家工作委员会主任、副主任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、委员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.国内（CSCI、CSSCI）、国外（SCI、SSCI）及国家一级学会所主办的杂志（期刊）的主编、副主编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.实践性学科师生作为主要角色参加大型义务演出等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.教师在省级及以上媒体进行系列讲座、开办专栏等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媒体宣传、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科普推广、科协活动、扶贫等社会服务方面具有重大社会影响的情况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注：所填数量须与证明材料保持一致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23895"/>
    <w:rsid w:val="01F8675C"/>
    <w:rsid w:val="078661D9"/>
    <w:rsid w:val="080C128C"/>
    <w:rsid w:val="249E0B9B"/>
    <w:rsid w:val="3A623895"/>
    <w:rsid w:val="3AF66A31"/>
    <w:rsid w:val="47F41811"/>
    <w:rsid w:val="5B764E64"/>
    <w:rsid w:val="680631A3"/>
    <w:rsid w:val="6A9223D4"/>
    <w:rsid w:val="7A3D7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2016-11-15T09:23:00Z</dcterms:created>
  <dc:creator>Administrator</dc:creator>
  <cp:lastModifiedBy>Administrator</cp:lastModifiedBy>
  <cp:lastPrinted>2016-11-24T00:55:00Z</cp:lastPrinted>
  <dcterms:modified xsi:type="dcterms:W3CDTF">2017-12-04T09:32:32Z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